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AFC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</w:rPr>
        <w:t>附件</w:t>
      </w: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6-2</w:t>
      </w:r>
    </w:p>
    <w:p w14:paraId="3ABB8CD6"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 w14:paraId="574FAE52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hint="eastAsia" w:ascii="方正小标宋简体" w:hAnsi="宋体" w:eastAsia="方正小标宋简体"/>
          <w:sz w:val="44"/>
          <w:szCs w:val="44"/>
          <w:lang w:eastAsia="zh-CN"/>
        </w:rPr>
      </w:pP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峨边彝族自治县文化馆</w:t>
      </w:r>
    </w:p>
    <w:p w14:paraId="08F89890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00" w:lineRule="exact"/>
        <w:jc w:val="center"/>
        <w:textAlignment w:val="auto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</w:t>
      </w:r>
    </w:p>
    <w:p w14:paraId="1F5A7FBC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</w:rPr>
      </w:pPr>
      <w:r>
        <w:rPr>
          <w:rFonts w:hint="eastAsia" w:ascii="楷体_GB2312" w:hAnsi="楷体_GB2312" w:eastAsia="楷体_GB2312" w:cs="楷体_GB2312"/>
          <w:color w:val="auto"/>
          <w:kern w:val="2"/>
          <w:sz w:val="32"/>
          <w:szCs w:val="32"/>
          <w:lang w:eastAsia="zh-CN"/>
        </w:rPr>
        <w:t>《两馆免费开放及群众文化（上级资金）》</w:t>
      </w:r>
    </w:p>
    <w:p w14:paraId="6D741604">
      <w:pPr>
        <w:pStyle w:val="9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spacing w:line="600" w:lineRule="exact"/>
        <w:ind w:firstLine="640" w:firstLineChars="200"/>
        <w:jc w:val="center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</w:rPr>
      </w:pPr>
    </w:p>
    <w:p w14:paraId="0D49D8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lang w:val="zh-CN"/>
        </w:rPr>
      </w:pPr>
      <w:r>
        <w:rPr>
          <w:rFonts w:hint="eastAsia" w:ascii="黑体" w:hAnsi="黑体" w:eastAsia="黑体" w:cs="黑体"/>
          <w:b w:val="0"/>
          <w:bCs w:val="0"/>
        </w:rPr>
        <w:t>一、</w:t>
      </w:r>
      <w:r>
        <w:rPr>
          <w:rFonts w:hint="eastAsia" w:ascii="黑体" w:hAnsi="黑体" w:eastAsia="黑体" w:cs="黑体"/>
          <w:b w:val="0"/>
          <w:bCs w:val="0"/>
          <w:lang w:val="zh-CN"/>
        </w:rPr>
        <w:t>项目概况</w:t>
      </w:r>
    </w:p>
    <w:p w14:paraId="0844AF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项目基本情况</w:t>
      </w:r>
    </w:p>
    <w:p w14:paraId="12CE11C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组织群众文化活动，繁荣群众文化事业，文化宣传、文艺活动组织、村文化事业指导、文化交流、大众科普资料编辑、民族民间文化艺术遗产收集保护、文化馆、图书馆免费开放、免费培训。</w:t>
      </w:r>
    </w:p>
    <w:p w14:paraId="67E989D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（一）项目资金申报及批复情况。</w:t>
      </w:r>
    </w:p>
    <w:p w14:paraId="4EED147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两馆免费开放及群众文化（上级资金）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项目预算资金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32万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元，经财政批复下达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31.68万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元。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资金管理按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各项财经纪律和管理制度进行管理，按程序按规定支付各类费用，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符合资金管理办法等相关规定。</w:t>
      </w:r>
    </w:p>
    <w:p w14:paraId="58AA32C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（二）项目绩效目标。</w:t>
      </w:r>
    </w:p>
    <w:p w14:paraId="4723CA8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图书馆、文化馆免费对外开放，开展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文化惠民系列活动，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青少年免费培训，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sz w:val="32"/>
          <w:szCs w:val="32"/>
          <w:lang w:eastAsia="zh-CN"/>
        </w:rPr>
        <w:t>文化宣传，对外文化交流，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 w:eastAsia="zh-CN"/>
        </w:rPr>
        <w:t>文艺创作，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社区乡镇业务辅导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kern w:val="0"/>
          <w:sz w:val="32"/>
          <w:szCs w:val="32"/>
          <w:shd w:val="clear" w:color="auto" w:fill="FFFFFF"/>
          <w:lang w:val="en-US" w:eastAsia="zh-CN"/>
        </w:rPr>
        <w:t>。</w:t>
      </w:r>
    </w:p>
    <w:p w14:paraId="6C1443E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（三）项目资金申报相符性。</w:t>
      </w:r>
    </w:p>
    <w:p w14:paraId="690D266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申报内容与实际相符，申报目标合理可行。</w:t>
      </w:r>
    </w:p>
    <w:p w14:paraId="2EC50A1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</w:rPr>
      </w:pPr>
      <w:r>
        <w:rPr>
          <w:rFonts w:hint="eastAsia" w:ascii="黑体" w:hAnsi="黑体" w:eastAsia="黑体" w:cs="黑体"/>
          <w:b w:val="0"/>
          <w:bCs w:val="0"/>
          <w:lang w:eastAsia="zh-CN"/>
        </w:rPr>
        <w:t>二、</w:t>
      </w:r>
      <w:r>
        <w:rPr>
          <w:rFonts w:hint="eastAsia" w:ascii="黑体" w:hAnsi="黑体" w:eastAsia="黑体" w:cs="黑体"/>
          <w:b w:val="0"/>
          <w:bCs w:val="0"/>
        </w:rPr>
        <w:t>项目实施及管理情况</w:t>
      </w:r>
    </w:p>
    <w:p w14:paraId="007A68B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（一）资金计划、到位及使用情况。</w:t>
      </w:r>
    </w:p>
    <w:p w14:paraId="558943AB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资金计划及到位。</w:t>
      </w:r>
    </w:p>
    <w:p w14:paraId="2603399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两馆免费开放及群众文化（上级资金）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项目，预算资金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31.68万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元，。</w:t>
      </w:r>
    </w:p>
    <w:p w14:paraId="08AE239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资金使用。</w:t>
      </w:r>
    </w:p>
    <w:p w14:paraId="1CC71EFF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资金支付范围、支付标准、支付进度、支付依据等合规合法，与预算相符。</w:t>
      </w:r>
    </w:p>
    <w:p w14:paraId="64D8825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（二）项目财务管理情况。</w:t>
      </w:r>
    </w:p>
    <w:p w14:paraId="71436A2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两馆免费开放及群众文化（上级资金）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严格按照各项财务制度进行管理，按程序按规定报销各类费用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zh-CN"/>
        </w:rPr>
        <w:t>，账务处理及时，会计核算规范。</w:t>
      </w:r>
    </w:p>
    <w:p w14:paraId="558E49CA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en-US" w:eastAsia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（三）项目组织实施情况。</w:t>
      </w:r>
    </w:p>
    <w:p w14:paraId="79752B91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1.办公室起草方案。</w:t>
      </w:r>
    </w:p>
    <w:p w14:paraId="4C01849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2.文化馆领导审定。</w:t>
      </w:r>
    </w:p>
    <w:p w14:paraId="1260DE4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3.按照工作计划开展关于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两馆免费开放及群众文化（上级资金）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 xml:space="preserve">      </w:t>
      </w:r>
    </w:p>
    <w:p w14:paraId="79F9A4A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4.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按程序按规定支付</w:t>
      </w: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群众文化及两馆免费开放—上级资金</w:t>
      </w:r>
      <w:r>
        <w:rPr>
          <w:rFonts w:hint="eastAsia" w:ascii="仿宋_GB2312" w:hAnsi="仿宋_GB2312" w:eastAsia="仿宋_GB2312" w:cs="仿宋_GB2312"/>
          <w:b w:val="0"/>
          <w:bCs w:val="0"/>
          <w:lang w:eastAsia="zh-CN"/>
        </w:rPr>
        <w:t>的相关业务费用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。</w:t>
      </w:r>
    </w:p>
    <w:p w14:paraId="517170F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auto"/>
          <w:kern w:val="2"/>
          <w:sz w:val="32"/>
          <w:szCs w:val="32"/>
          <w:lang w:eastAsia="zh-CN"/>
        </w:rPr>
        <w:t>两馆免费开放及群众文化（上级资金）项目</w:t>
      </w:r>
      <w:r>
        <w:rPr>
          <w:rFonts w:hint="eastAsia" w:ascii="仿宋_GB2312" w:hAnsi="仿宋_GB2312" w:eastAsia="仿宋_GB2312" w:cs="仿宋_GB2312"/>
          <w:b w:val="0"/>
          <w:bCs w:val="0"/>
          <w:lang w:val="zh-CN"/>
        </w:rPr>
        <w:t>方案审定后，按照自治县规定要求推进工作。</w:t>
      </w:r>
    </w:p>
    <w:p w14:paraId="2C78162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lang w:val="zh-CN" w:eastAsia="zh-CN"/>
        </w:rPr>
      </w:pPr>
      <w:r>
        <w:rPr>
          <w:rFonts w:hint="eastAsia" w:ascii="黑体" w:hAnsi="黑体" w:eastAsia="黑体" w:cs="黑体"/>
          <w:b w:val="0"/>
          <w:bCs w:val="0"/>
          <w:lang w:eastAsia="zh-CN"/>
        </w:rPr>
        <w:t>三、项目绩效情况</w:t>
      </w:r>
      <w:r>
        <w:rPr>
          <w:rFonts w:hint="eastAsia" w:ascii="黑体" w:hAnsi="黑体" w:eastAsia="黑体" w:cs="黑体"/>
          <w:b w:val="0"/>
          <w:bCs w:val="0"/>
          <w:lang w:val="zh-CN" w:eastAsia="zh-CN"/>
        </w:rPr>
        <w:tab/>
      </w:r>
    </w:p>
    <w:p w14:paraId="440D670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（一）项目完成情况。</w:t>
      </w:r>
    </w:p>
    <w:p w14:paraId="7B287FD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两馆免费对外开放，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不定期组织专业人员下基层，对各社区、镇乡综合文化站、企事业单位的文艺骨干进行广场舞培训、文艺活动辅导；举办书画、摄影、非遗作品乡村巡展；常态化举办“黄桷树下说党史”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”“有恒时光”读书会活动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记忆峨边”文化长廊沉浸式演出，“彝歌会”路演；配合自治县举办大型主题活动；参加第八届成都国际非物质文化遗产节、第十届全国地市级文化馆“百馆联动”、四川省美丽都市圈避暑旅游发展大会、第十届四川旅游光交易博览会、年鉴里的中国“市集里的东方美”活动等艺术交流展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文化馆以“团结、友爱、互助、志愿”为总纲，狠抓志愿服务品牌建设，打造了“文化大篷车”“甘嫫阿妞”文化文艺志愿服务队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积极宣传非遗保护的重要性，开展非遗展览、传习、授讲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活动；参军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四川省第九届少数民族艺术节舞台精品展演；参加“天籁之音.石海之约”第五届西部民歌展演荣获最佳演唱作品、第三届四川艺术节四川群星奖；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乐山首届原创曲艺大赛；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参加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乐山广场舞大赛；阿惹妞组合参加中国彝歌会；歌曲《尼木泽》《梦中的歌谣》参加“魅力乌拉特”第七届西部民歌会；彝族歌舞《朵洛荷》参加第八届中国成都国际非物质文化遗产节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041B707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 xml:space="preserve">（二）项目效益情况。 </w:t>
      </w:r>
    </w:p>
    <w:p w14:paraId="0DFA654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“文化大篷车”服务队荣获乐山市首届最美志愿服务项目，葛秀琴同志荣获乐山市首届最美志愿服务“最美志愿者”称号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对各社区、镇乡综合文化站、企事业单位的文艺骨干进行广场舞培训、文艺活动辅导18场；书画、摄影、非遗作品乡村巡展9场，为乡镇、社区老百姓送上精美的视觉大餐；“记忆峨边”文化长廊沉浸式演出1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场，“彝歌会”路演6场，每一场演出现场气氛激情燃烧，演出受到群众、游客的赞许和喜爱；配合自治县举办大型主题活动11场，为群众送上了精美的文艺大餐；积极参加国家、省、市交流演出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7场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，宣传峨边小凉山特色彝族文化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让彝族独特艺术魅力走出小凉山，在更多舞台碰撞出地域特色火花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；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</w:rPr>
        <w:t>创作编排的群舞《孜木伟勒》荣获四川省第九届少数民族艺术节舞台精品展演（非职业组）二等奖，歌曲《回到佳支依达》荣获四川省第九届少数民族艺术节舞台精品展演（非职业组）优秀作品奖；歌曲《尼木泽》参加“天籁之音.石海之约”第五届西部民歌展演荣获最佳演唱作品、第三届四川艺术节四川群星奖；彝族原创曲艺作品《峨边彝族克斯》荣获乐山首届原创曲艺作品大赛一等奖；广场舞《发现之旅》荣获乐山广场舞大赛三等奖；阿惹妞组合参加中国彝歌会决赛荣获优秀奖；歌曲《尼木泽》《梦中的歌谣》参加“魅力乌拉特”第七届西部民歌会荣获最佳演唱奖；彝族歌舞《朵洛荷》参加第八届中国成都国际非物质文化遗产节荣获优秀展演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节目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eastAsia="zh-CN"/>
        </w:rPr>
        <w:t>。</w:t>
      </w:r>
    </w:p>
    <w:p w14:paraId="4614E86E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adjustRightInd/>
        <w:snapToGrid w:val="0"/>
        <w:spacing w:line="600" w:lineRule="exact"/>
        <w:ind w:firstLine="640" w:firstLineChars="200"/>
        <w:textAlignment w:val="auto"/>
        <w:rPr>
          <w:rFonts w:hint="eastAsia" w:ascii="黑体" w:hAnsi="黑体" w:eastAsia="黑体" w:cs="黑体"/>
          <w:b w:val="0"/>
          <w:bCs w:val="0"/>
          <w:lang w:eastAsia="zh-CN"/>
        </w:rPr>
      </w:pPr>
      <w:r>
        <w:rPr>
          <w:rFonts w:hint="eastAsia" w:ascii="黑体" w:hAnsi="黑体" w:eastAsia="黑体" w:cs="黑体"/>
          <w:b w:val="0"/>
          <w:bCs w:val="0"/>
          <w:lang w:eastAsia="zh-CN"/>
        </w:rPr>
        <w:t>四、问题及建议。</w:t>
      </w:r>
      <w:bookmarkStart w:id="0" w:name="_GoBack"/>
      <w:bookmarkEnd w:id="0"/>
    </w:p>
    <w:p w14:paraId="4D9C6F29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（一）存在的问题。</w:t>
      </w:r>
    </w:p>
    <w:p w14:paraId="040FE884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</w:rPr>
        <w:t>财政预算安排单项工作经费不足，难于足额保障开展专项工作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33333"/>
          <w:spacing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43434"/>
          <w:spacing w:val="0"/>
          <w:sz w:val="32"/>
          <w:szCs w:val="32"/>
          <w:shd w:val="clear" w:fill="FFFFFF"/>
        </w:rPr>
        <w:t>不能满足群众日益增长的文化需求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caps w:val="0"/>
          <w:color w:val="343434"/>
          <w:spacing w:val="0"/>
          <w:sz w:val="32"/>
          <w:szCs w:val="32"/>
          <w:shd w:val="clear" w:fill="FFFFFF"/>
          <w:lang w:eastAsia="zh-CN"/>
        </w:rPr>
        <w:t>。</w:t>
      </w:r>
    </w:p>
    <w:p w14:paraId="30519D25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楷体_GB2312" w:hAnsi="楷体_GB2312" w:eastAsia="楷体_GB2312" w:cs="楷体_GB2312"/>
          <w:b w:val="0"/>
          <w:bCs w:val="0"/>
          <w:lang w:val="zh-CN"/>
        </w:rPr>
      </w:pPr>
      <w:r>
        <w:rPr>
          <w:rFonts w:hint="eastAsia" w:ascii="楷体_GB2312" w:hAnsi="楷体_GB2312" w:eastAsia="楷体_GB2312" w:cs="楷体_GB2312"/>
          <w:b w:val="0"/>
          <w:bCs w:val="0"/>
          <w:lang w:val="zh-CN"/>
        </w:rPr>
        <w:t>（二）相关建议。</w:t>
      </w:r>
    </w:p>
    <w:p w14:paraId="20C70390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jc w:val="left"/>
        <w:textAlignment w:val="auto"/>
        <w:rPr>
          <w:rFonts w:hint="eastAsia" w:ascii="仿宋_GB2312" w:hAnsi="仿宋_GB2312" w:eastAsia="仿宋_GB2312" w:cs="仿宋_GB2312"/>
          <w:b w:val="0"/>
          <w:bCs w:val="0"/>
          <w:lang w:val="zh-CN"/>
        </w:rPr>
      </w:pPr>
      <w:r>
        <w:rPr>
          <w:rFonts w:hint="eastAsia" w:ascii="仿宋_GB2312" w:hAnsi="仿宋_GB2312" w:eastAsia="仿宋_GB2312" w:cs="仿宋_GB2312"/>
          <w:b w:val="0"/>
          <w:bCs w:val="0"/>
          <w:lang w:val="en-US" w:eastAsia="zh-CN"/>
        </w:rPr>
        <w:t>可及时划拨预算资金，适当增加相应经费预算。</w:t>
      </w:r>
    </w:p>
    <w:p w14:paraId="4022EEB6">
      <w:pPr>
        <w:keepNext w:val="0"/>
        <w:keepLines w:val="0"/>
        <w:pageBreakBefore w:val="0"/>
        <w:widowControl w:val="0"/>
        <w:numPr>
          <w:ilvl w:val="0"/>
          <w:numId w:val="0"/>
        </w:numPr>
        <w:pBdr>
          <w:top w:val="single" w:color="FFFFFF" w:sz="4" w:space="2"/>
          <w:left w:val="single" w:color="FFFFFF" w:sz="4" w:space="31"/>
          <w:bottom w:val="single" w:color="FFFFFF" w:sz="4" w:space="31"/>
          <w:right w:val="single" w:color="FFFFFF" w:sz="4" w:space="15"/>
        </w:pBdr>
        <w:kinsoku/>
        <w:wordWrap/>
        <w:overflowPunct/>
        <w:topLinePunct w:val="0"/>
        <w:autoSpaceDE/>
        <w:autoSpaceDN/>
        <w:bidi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 xml:space="preserve">                             </w:t>
      </w:r>
    </w:p>
    <w:p w14:paraId="46F6B8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</w:rPr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腹黑体">
    <w:panose1 w:val="00000000000000000000"/>
    <w:charset w:val="86"/>
    <w:family w:val="auto"/>
    <w:pitch w:val="default"/>
    <w:sig w:usb0="00000001" w:usb1="08010410" w:usb2="00000012" w:usb3="00000000" w:csb0="00140001" w:csb1="00000000"/>
  </w:font>
  <w:font w:name="Parchment">
    <w:panose1 w:val="03040602040708040804"/>
    <w:charset w:val="00"/>
    <w:family w:val="auto"/>
    <w:pitch w:val="default"/>
    <w:sig w:usb0="00000003" w:usb1="00000000" w:usb2="00000000" w:usb3="00000000" w:csb0="2000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7DE838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E429C97">
                          <w:pPr>
                            <w:pStyle w:val="5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E429C97">
                    <w:pPr>
                      <w:pStyle w:val="5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U5NjExOTM3NDJkZDUzZWM0ZGQ5ODI1ZjU3YzJlNGM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14D3335"/>
    <w:rsid w:val="01FA184C"/>
    <w:rsid w:val="0D466608"/>
    <w:rsid w:val="0D850CC5"/>
    <w:rsid w:val="13722809"/>
    <w:rsid w:val="17D152E9"/>
    <w:rsid w:val="19B536B9"/>
    <w:rsid w:val="1E0A5785"/>
    <w:rsid w:val="291C455A"/>
    <w:rsid w:val="2A502512"/>
    <w:rsid w:val="36926D0C"/>
    <w:rsid w:val="3A900A47"/>
    <w:rsid w:val="414A628B"/>
    <w:rsid w:val="4DC17453"/>
    <w:rsid w:val="539454CB"/>
    <w:rsid w:val="66C26D13"/>
    <w:rsid w:val="673E27F9"/>
    <w:rsid w:val="6D950364"/>
    <w:rsid w:val="6EF16389"/>
    <w:rsid w:val="728F45A5"/>
    <w:rsid w:val="74276058"/>
    <w:rsid w:val="79016D9C"/>
    <w:rsid w:val="7B146210"/>
    <w:rsid w:val="7B23700B"/>
    <w:rsid w:val="7D1567A4"/>
    <w:rsid w:val="FFA371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jc w:val="center"/>
      <w:outlineLvl w:val="0"/>
    </w:pPr>
    <w:rPr>
      <w:rFonts w:ascii="Arial" w:hAnsi="Arial"/>
      <w:b/>
      <w:sz w:val="32"/>
    </w:rPr>
  </w:style>
  <w:style w:type="paragraph" w:styleId="3">
    <w:name w:val="Body Text"/>
    <w:basedOn w:val="1"/>
    <w:next w:val="4"/>
    <w:qFormat/>
    <w:uiPriority w:val="0"/>
    <w:pPr>
      <w:spacing w:after="120"/>
    </w:pPr>
    <w:rPr>
      <w:rFonts w:ascii="Times New Roman" w:hAnsi="Times New Roman" w:eastAsia="宋体" w:cs="Times New Roman"/>
      <w:kern w:val="1"/>
      <w:sz w:val="32"/>
      <w:szCs w:val="24"/>
    </w:rPr>
  </w:style>
  <w:style w:type="paragraph" w:styleId="4">
    <w:name w:val="Subtitle"/>
    <w:basedOn w:val="1"/>
    <w:next w:val="1"/>
    <w:qFormat/>
    <w:uiPriority w:val="0"/>
    <w:pPr>
      <w:spacing w:before="240" w:after="60" w:line="312" w:lineRule="auto"/>
      <w:jc w:val="center"/>
      <w:outlineLvl w:val="1"/>
    </w:pPr>
    <w:rPr>
      <w:rFonts w:ascii="Arial" w:hAnsi="Arial" w:eastAsia="宋体" w:cs="Arial"/>
      <w:b/>
      <w:bCs/>
      <w:kern w:val="28"/>
      <w:sz w:val="32"/>
      <w:szCs w:val="32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9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1814</Words>
  <Characters>1834</Characters>
  <Lines>9</Lines>
  <Paragraphs>2</Paragraphs>
  <TotalTime>22</TotalTime>
  <ScaleCrop>false</ScaleCrop>
  <LinksUpToDate>false</LinksUpToDate>
  <CharactersWithSpaces>1871</CharactersWithSpaces>
  <Application>WPS Office_12.1.0.18276_F1E327BC-269C-435d-A152-05C5408002CA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晓玲打印室</cp:lastModifiedBy>
  <cp:lastPrinted>2022-03-15T02:21:00Z</cp:lastPrinted>
  <dcterms:modified xsi:type="dcterms:W3CDTF">2024-10-18T08:40:15Z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2052-12.1.0.18276</vt:lpwstr>
  </property>
  <property fmtid="{D5CDD505-2E9C-101B-9397-08002B2CF9AE}" pid="3" name="ICV">
    <vt:lpwstr>2295F6004E7C4908A6170C90E5C595B7</vt:lpwstr>
  </property>
</Properties>
</file>